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7DF37E3C" w:rsidR="00747C34" w:rsidRPr="00BC2AB4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5E50FBB0" w14:textId="34727743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>volta all’affidamento diretto, ai sensi</w:t>
      </w:r>
      <w:r w:rsidR="002F3AFD" w:rsidRPr="00A85B3D">
        <w:rPr>
          <w:rFonts w:eastAsia="Calibri" w:cstheme="minorHAnsi"/>
          <w:lang w:val="it-IT"/>
        </w:rPr>
        <w:t xml:space="preserve"> dell’art. 1, comma 2, lett. </w:t>
      </w:r>
      <w:r w:rsidR="000D7E2C" w:rsidRPr="00A85B3D">
        <w:rPr>
          <w:rFonts w:eastAsia="Calibri" w:cstheme="minorHAnsi"/>
          <w:lang w:val="it-IT"/>
        </w:rPr>
        <w:t>a</w:t>
      </w:r>
      <w:r w:rsidR="002F3AFD" w:rsidRPr="00A85B3D">
        <w:rPr>
          <w:rFonts w:eastAsia="Calibri" w:cstheme="minorHAnsi"/>
          <w:lang w:val="it-IT"/>
        </w:rPr>
        <w:t>), del D.L. n. 76/2020</w:t>
      </w:r>
      <w:r w:rsidR="004C3032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>egge n. 120/2020,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e successivamente modificato dall’art. 51, comma 1, lett. a), sub 2.1), del D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>L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 xml:space="preserve"> n. 77/2021, 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 xml:space="preserve">egge </w:t>
      </w:r>
      <w:r w:rsidR="00B54D5A">
        <w:rPr>
          <w:rFonts w:eastAsia="Calibri" w:cstheme="minorHAnsi"/>
          <w:lang w:val="it-IT"/>
        </w:rPr>
        <w:t xml:space="preserve">n. </w:t>
      </w:r>
      <w:r w:rsidR="00D94EB2" w:rsidRPr="00D94EB2">
        <w:rPr>
          <w:rFonts w:eastAsia="Calibri" w:cstheme="minorHAnsi"/>
          <w:lang w:val="it-IT"/>
        </w:rPr>
        <w:t>108/2021</w:t>
      </w:r>
      <w:r w:rsidR="002F3AFD" w:rsidRPr="00A85B3D">
        <w:rPr>
          <w:rFonts w:eastAsia="Calibri" w:cstheme="minorHAnsi"/>
          <w:lang w:val="it-IT"/>
        </w:rPr>
        <w:t xml:space="preserve">, </w:t>
      </w:r>
      <w:r w:rsidR="00DA36A1" w:rsidRPr="00A85B3D">
        <w:rPr>
          <w:rFonts w:eastAsia="Calibri" w:cstheme="minorHAnsi"/>
          <w:lang w:val="it-IT"/>
        </w:rPr>
        <w:t>da espletarsi mediante lo strumento del</w:t>
      </w:r>
      <w:r w:rsidR="00F35D4B">
        <w:rPr>
          <w:rFonts w:eastAsia="Calibri" w:cstheme="minorHAnsi"/>
          <w:lang w:val="it-IT"/>
        </w:rPr>
        <w:t>la Trattativa Diretta</w:t>
      </w:r>
      <w:r w:rsidR="00DA36A1" w:rsidRPr="00A85B3D">
        <w:rPr>
          <w:rFonts w:eastAsia="Calibri" w:cstheme="minorHAnsi"/>
          <w:lang w:val="it-IT"/>
        </w:rPr>
        <w:t xml:space="preserve"> </w:t>
      </w:r>
      <w:r w:rsidR="00F35D4B" w:rsidRPr="00F35D4B">
        <w:rPr>
          <w:rFonts w:eastAsia="Calibri" w:cstheme="minorHAnsi"/>
          <w:i/>
          <w:iCs/>
          <w:highlight w:val="yellow"/>
          <w:lang w:val="it-IT"/>
        </w:rPr>
        <w:t>[o, in alternativa]</w:t>
      </w:r>
      <w:r w:rsidR="00F35D4B">
        <w:rPr>
          <w:rFonts w:eastAsia="Calibri" w:cstheme="minorHAnsi"/>
          <w:lang w:val="it-IT"/>
        </w:rPr>
        <w:t xml:space="preserve"> del C</w:t>
      </w:r>
      <w:r w:rsidR="00DA36A1" w:rsidRPr="00A85B3D">
        <w:rPr>
          <w:rFonts w:eastAsia="Calibri" w:cstheme="minorHAnsi"/>
          <w:lang w:val="it-IT"/>
        </w:rPr>
        <w:t xml:space="preserve">onfronto di </w:t>
      </w:r>
      <w:r w:rsidR="00F35D4B">
        <w:rPr>
          <w:rFonts w:eastAsia="Calibri" w:cstheme="minorHAnsi"/>
          <w:lang w:val="it-IT"/>
        </w:rPr>
        <w:t>P</w:t>
      </w:r>
      <w:r w:rsidR="00DA36A1" w:rsidRPr="00A85B3D">
        <w:rPr>
          <w:rFonts w:eastAsia="Calibri" w:cstheme="minorHAnsi"/>
          <w:lang w:val="it-IT"/>
        </w:rPr>
        <w:t>reventivi,</w:t>
      </w:r>
      <w:r w:rsidR="00A85B3D">
        <w:rPr>
          <w:rFonts w:eastAsia="Calibri" w:cstheme="minorHAnsi"/>
          <w:lang w:val="it-IT"/>
        </w:rPr>
        <w:t xml:space="preserve"> del</w:t>
      </w:r>
      <w:r w:rsidR="00DA36A1" w:rsidRPr="00A85B3D">
        <w:rPr>
          <w:rFonts w:eastAsia="Calibri" w:cstheme="minorHAnsi"/>
          <w:lang w:val="it-IT"/>
        </w:rPr>
        <w:t xml:space="preserve"> «</w:t>
      </w:r>
      <w:r w:rsidR="00DA36A1" w:rsidRPr="003D3692">
        <w:rPr>
          <w:rFonts w:eastAsia="Calibri" w:cstheme="minorHAnsi"/>
          <w:highlight w:val="green"/>
          <w:lang w:val="it-IT"/>
        </w:rPr>
        <w:t>…</w:t>
      </w:r>
      <w:r w:rsidR="00DA36A1" w:rsidRPr="00A85B3D">
        <w:rPr>
          <w:rFonts w:eastAsia="Calibri" w:cstheme="minorHAnsi"/>
          <w:lang w:val="it-IT"/>
        </w:rPr>
        <w:t>»</w:t>
      </w:r>
      <w:r w:rsidR="00A85B3D">
        <w:rPr>
          <w:rFonts w:eastAsia="Calibri" w:cstheme="minorHAnsi"/>
          <w:lang w:val="it-IT"/>
        </w:rPr>
        <w:t xml:space="preserve"> </w:t>
      </w:r>
      <w:r w:rsidR="00D81EF7" w:rsidRPr="00A85B3D">
        <w:rPr>
          <w:rFonts w:eastAsia="Calibri" w:cstheme="minorHAnsi"/>
          <w:bCs/>
          <w:lang w:val="it-IT"/>
        </w:rPr>
        <w:t xml:space="preserve">(CIG </w:t>
      </w:r>
      <w:r w:rsidR="002F3AFD" w:rsidRPr="00A85B3D">
        <w:rPr>
          <w:rFonts w:eastAsia="Calibri" w:cstheme="minorHAnsi"/>
          <w:bCs/>
          <w:lang w:val="it-IT"/>
        </w:rPr>
        <w:t>[</w:t>
      </w:r>
      <w:r w:rsidR="002F3AFD" w:rsidRPr="00A85B3D">
        <w:rPr>
          <w:rFonts w:eastAsia="Calibri" w:cstheme="minorHAnsi"/>
          <w:bCs/>
          <w:highlight w:val="green"/>
          <w:lang w:val="it-IT"/>
        </w:rPr>
        <w:t>…</w:t>
      </w:r>
      <w:r w:rsidR="002F3AFD" w:rsidRPr="00A85B3D">
        <w:rPr>
          <w:rFonts w:eastAsia="Calibri" w:cstheme="minorHAnsi"/>
          <w:bCs/>
          <w:lang w:val="it-IT"/>
        </w:rPr>
        <w:t>]</w:t>
      </w:r>
      <w:r w:rsidR="00A85B3D">
        <w:rPr>
          <w:rFonts w:eastAsia="Calibri" w:cstheme="minorHAnsi"/>
          <w:bCs/>
          <w:lang w:val="it-IT"/>
        </w:rPr>
        <w:t>, CUP [</w:t>
      </w:r>
      <w:r w:rsidR="00A85B3D" w:rsidRPr="00A85B3D">
        <w:rPr>
          <w:rFonts w:eastAsia="Calibri" w:cstheme="minorHAnsi"/>
          <w:bCs/>
          <w:highlight w:val="green"/>
          <w:lang w:val="it-IT"/>
        </w:rPr>
        <w:t>…</w:t>
      </w:r>
      <w:r w:rsidR="00A85B3D">
        <w:rPr>
          <w:rFonts w:eastAsia="Calibri" w:cstheme="minorHAnsi"/>
          <w:bCs/>
          <w:lang w:val="it-IT"/>
        </w:rPr>
        <w:t>]</w:t>
      </w:r>
      <w:r w:rsidR="00D81EF7" w:rsidRPr="00A85B3D">
        <w:rPr>
          <w:rFonts w:eastAsia="Calibri" w:cstheme="minorHAnsi"/>
          <w:bCs/>
          <w:lang w:val="it-IT"/>
        </w:rPr>
        <w:t>)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5D1599" w:rsidRPr="005D1599">
        <w:rPr>
          <w:rFonts w:cstheme="minorHAnsi"/>
          <w:i/>
          <w:iCs/>
          <w:lang w:val="it-IT"/>
        </w:rPr>
        <w:t>Azione 1: Next generation classrooms - Ambienti di apprendimento innovativi</w:t>
      </w:r>
      <w:r w:rsidR="005D1599" w:rsidRPr="005D1599">
        <w:rPr>
          <w:rFonts w:cstheme="minorHAnsi"/>
          <w:lang w:val="it-IT"/>
        </w:rPr>
        <w:t xml:space="preserve">” </w:t>
      </w:r>
      <w:r w:rsidR="005D1599" w:rsidRPr="005D1599">
        <w:rPr>
          <w:rFonts w:cstheme="minorHAnsi"/>
          <w:i/>
          <w:iCs/>
          <w:highlight w:val="yellow"/>
          <w:lang w:val="it-IT"/>
        </w:rPr>
        <w:t>[in alternativa]</w:t>
      </w:r>
      <w:r w:rsidR="005D1599" w:rsidRPr="005D1599">
        <w:rPr>
          <w:rFonts w:cstheme="minorHAnsi"/>
          <w:lang w:val="it-IT"/>
        </w:rPr>
        <w:t xml:space="preserve"> “</w:t>
      </w:r>
      <w:r w:rsidR="005D1599" w:rsidRPr="005D1599">
        <w:rPr>
          <w:rFonts w:cstheme="minorHAnsi"/>
          <w:i/>
          <w:iCs/>
          <w:lang w:val="it-IT"/>
        </w:rPr>
        <w:t>Azione 2: Next generation labs - Laboratori per le professioni digitali del futuro</w:t>
      </w:r>
      <w:r w:rsidR="005D1599" w:rsidRPr="005D1599">
        <w:rPr>
          <w:rFonts w:cstheme="minorHAnsi"/>
          <w:lang w:val="it-IT"/>
        </w:rPr>
        <w:t>”</w:t>
      </w:r>
      <w:r w:rsidR="005D1599">
        <w:rPr>
          <w:rFonts w:cstheme="minorHAnsi"/>
          <w:lang w:val="it-IT"/>
        </w:rPr>
        <w:t>,</w:t>
      </w:r>
      <w:r w:rsidR="00B54D5A">
        <w:rPr>
          <w:rFonts w:cstheme="minorHAnsi"/>
          <w:lang w:val="it-IT"/>
        </w:rPr>
        <w:t xml:space="preserve"> finanziato dall’Unione europea – </w:t>
      </w:r>
      <w:r w:rsidR="00B54D5A" w:rsidRPr="00B54D5A">
        <w:rPr>
          <w:rFonts w:cstheme="minorHAnsi"/>
          <w:i/>
          <w:iCs/>
          <w:lang w:val="it-IT"/>
        </w:rPr>
        <w:t>Next Generation EU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52691264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>dell’Istituto [</w:t>
      </w:r>
      <w:r w:rsidR="005D1599" w:rsidRPr="005D1599">
        <w:rPr>
          <w:rFonts w:ascii="Calibri" w:hAnsi="Calibri" w:cs="Calibri"/>
          <w:sz w:val="22"/>
          <w:szCs w:val="22"/>
          <w:highlight w:val="green"/>
        </w:rPr>
        <w:t>…</w:t>
      </w:r>
      <w:r w:rsidR="005D1599">
        <w:rPr>
          <w:rFonts w:ascii="Calibri" w:hAnsi="Calibri" w:cs="Calibri"/>
          <w:sz w:val="22"/>
          <w:szCs w:val="22"/>
        </w:rPr>
        <w:t>]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classrooms - Ambienti di apprendimento innovativi” </w:t>
      </w:r>
      <w:r w:rsidR="009D45D1" w:rsidRPr="009D45D1">
        <w:rPr>
          <w:rFonts w:ascii="Calibri" w:hAnsi="Calibri" w:cs="Calibri"/>
          <w:i/>
          <w:iCs/>
          <w:sz w:val="22"/>
          <w:szCs w:val="22"/>
          <w:highlight w:val="yellow"/>
        </w:rPr>
        <w:t>[in alternativa]</w:t>
      </w:r>
      <w:r w:rsidR="009D45D1" w:rsidRPr="009D45D1">
        <w:rPr>
          <w:rFonts w:ascii="Calibri" w:hAnsi="Calibri" w:cs="Calibri"/>
          <w:sz w:val="22"/>
          <w:szCs w:val="22"/>
        </w:rPr>
        <w:t xml:space="preserve"> “Azione 2: Next generation labs - Laboratori per le professioni digitali del futuro”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="00B54D5A">
        <w:rPr>
          <w:rFonts w:ascii="Calibri" w:hAnsi="Calibri" w:cs="Calibri"/>
          <w:sz w:val="22"/>
          <w:szCs w:val="22"/>
        </w:rPr>
        <w:t xml:space="preserve">finanziato dall’Unione europea – </w:t>
      </w:r>
      <w:r w:rsidR="00B54D5A" w:rsidRPr="00B54D5A">
        <w:rPr>
          <w:rFonts w:ascii="Calibri" w:hAnsi="Calibri" w:cs="Calibri"/>
          <w:i/>
          <w:iCs/>
          <w:sz w:val="22"/>
          <w:szCs w:val="22"/>
        </w:rPr>
        <w:t>Next Generation EU</w:t>
      </w:r>
      <w:r w:rsidR="00B54D5A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>Do not significant harm</w:t>
      </w:r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2DC9C895" w14:textId="6684030E" w:rsidR="003D3692" w:rsidRPr="005D1599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 xml:space="preserve">, del 13 ottobre 2022, n. 33 e </w:t>
      </w:r>
      <w:r w:rsidR="009D45D1" w:rsidRPr="005D1599">
        <w:rPr>
          <w:rFonts w:ascii="Calibri" w:hAnsi="Calibri" w:cs="Calibri"/>
          <w:sz w:val="22"/>
          <w:szCs w:val="22"/>
        </w:rPr>
        <w:lastRenderedPageBreak/>
        <w:t>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6"/>
  </w:num>
  <w:num w:numId="3" w16cid:durableId="142893870">
    <w:abstractNumId w:val="18"/>
  </w:num>
  <w:num w:numId="4" w16cid:durableId="2030636691">
    <w:abstractNumId w:val="19"/>
  </w:num>
  <w:num w:numId="5" w16cid:durableId="129591112">
    <w:abstractNumId w:val="0"/>
  </w:num>
  <w:num w:numId="6" w16cid:durableId="949971846">
    <w:abstractNumId w:val="28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7"/>
  </w:num>
  <w:num w:numId="10" w16cid:durableId="519317603">
    <w:abstractNumId w:val="24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3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0"/>
  </w:num>
  <w:num w:numId="17" w16cid:durableId="1739128869">
    <w:abstractNumId w:val="31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7"/>
  </w:num>
  <w:num w:numId="21" w16cid:durableId="741488074">
    <w:abstractNumId w:val="29"/>
  </w:num>
  <w:num w:numId="22" w16cid:durableId="1093284835">
    <w:abstractNumId w:val="12"/>
  </w:num>
  <w:num w:numId="23" w16cid:durableId="245845018">
    <w:abstractNumId w:val="15"/>
  </w:num>
  <w:num w:numId="24" w16cid:durableId="1271233674">
    <w:abstractNumId w:val="22"/>
  </w:num>
  <w:num w:numId="25" w16cid:durableId="1184855041">
    <w:abstractNumId w:val="7"/>
  </w:num>
  <w:num w:numId="26" w16cid:durableId="192423016">
    <w:abstractNumId w:val="21"/>
  </w:num>
  <w:num w:numId="27" w16cid:durableId="714545574">
    <w:abstractNumId w:val="23"/>
  </w:num>
  <w:num w:numId="28" w16cid:durableId="2104572877">
    <w:abstractNumId w:val="11"/>
  </w:num>
  <w:num w:numId="29" w16cid:durableId="1806462432">
    <w:abstractNumId w:val="30"/>
  </w:num>
  <w:num w:numId="30" w16cid:durableId="1682971266">
    <w:abstractNumId w:val="14"/>
  </w:num>
  <w:num w:numId="31" w16cid:durableId="517698839">
    <w:abstractNumId w:val="25"/>
  </w:num>
  <w:num w:numId="32" w16cid:durableId="199246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2023-07-30T21:20:00Z</dcterms:created>
  <dcterms:modified xsi:type="dcterms:W3CDTF">2023-07-30T21:20:00Z</dcterms:modified>
</cp:coreProperties>
</file>